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2009/405 vom 15. Juni 2011</w:t>
      </w:r>
    </w:p>
    <w:p>
      <w:r>
        <w:t>Sg Versicherungsgericht, 2011-06-15, DE</w:t>
      </w:r>
    </w:p>
    <w:p>
      <w:r>
        <w:rPr>
          <w:b/>
        </w:rPr>
        <w:t xml:space="preserve">Quelle: </w:t>
      </w:r>
      <w:r>
        <w:t>https://mcp.opencaselaw.ch/entscheid/sg_publikationen_IV 2009_405</w:t>
      </w:r>
    </w:p>
    <w:p>
      <w:r>
        <w:t>FR: SG_VERSICHERUNGSGERICHT IV 2009/405 du 15 juin 2011</w:t>
      </w:r>
    </w:p>
    <w:p>
      <w:r>
        <w:t>IT: SG_VERSICHERUNGSGERICHT IV 2009/405 del 15 giugno 2011</w:t>
      </w:r>
    </w:p>
    <w:p>
      <w:pPr>
        <w:pStyle w:val="Heading2"/>
      </w:pPr>
      <w:r>
        <w:t>Regeste</w:t>
      </w:r>
    </w:p>
    <w:p>
      <w:r>
        <w:t>Art. 28 IVG; Rentenanspruch: Würdigung eines polydisziplinären Gutachtens (Entscheid des Versicherungsgerichts des Kantons St. Gallen vom 15. Juni 2011, IV 2009/405).</w:t>
      </w:r>
    </w:p>
    <w:p>
      <w:pPr>
        <w:pStyle w:val="Heading2"/>
      </w:pPr>
      <w:r>
        <w:t>Erwägungen</w:t>
      </w:r>
    </w:p>
    <w:p>
      <w:r>
        <w:rPr>
          <w:b/>
        </w:rPr>
        <w:t>E. 1</w:t>
      </w:r>
    </w:p>
    <w:p>
      <w:r>
        <w:t>1.1    Streitig und zu prüfen ist vorliegend, ob die Beschwerdegegnerin den Anspruch der Beschwerdeführerin auf eine Invalidenrente zu Recht abgelehnt hat.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Zu prüfen ist vorab, ob die medizinische Aktenlage eine rechtsgenügliche Beurteilung der Arbeitsfähigkeit der Beschwerdeführerin erlaubt. Die Beschwerdegegnerin stützt sich in der angefochtenen Verfügung auf das SMAB-Gutachten vom 13. November 2008 und die darin festgelegte 80%ige Arbeitsfähigkeit in der angestammten und in einer angepassten Tätigkeit. Im Beschwerdeverfahren ist die Beschwerdegegnerin der Ansicht, dass in einer adaptierten Tätigkeit von einer vollen Arbeitsfähigkeit auszugehen sei. Die Beschwerdeführerin hingegen erachtet das SMAB-Gutachten als mangelhaft und daher nicht beweistauglich. 2.2    Konkret beanstandet die Beschwerdeführerin, dass sie von der SMAB zu einer "MEDAS-Begutachtung" aufgeboten worden sei. Es sei unzulässig, dass sich eine privatrechtliche Begutachtungsinstitution selber als MEDAS bezeichne. Ausserdem führe die SMAB oder habe offenbar in der Referenzliste bei den IV-Stellen einen Prof. D.___ aufgeführt, welcher heute aber nicht einmal mehr im Internet-Auftritt (www.smab.ch) erwähnt werde. Dessen Stelle in der Geschäftsführung habe offenbar Frau Dr. E.___ übernommen, welche das Gutachten auch in Vertretung von Prof. D.___ unterschrieben habe. 2.2.1           Die formellen Beanstandungen gegen das SMAB-Gutachten lassen keine Zweifel an dessen Beweiswert aufkommen. Bei der SMAB handelt es sich um eine vom BSV anerkannte MEDAS der Invalidenversicherung (vgl. Plädoyer 3/09 S. 9 [Quelle: BSV]), weshalb der diesbezügliche Einwand der Beschwerdeführerin offensichtlich unbegründet ist. Aus dem Umstand, dass Prof. D.___ im Begutachtungszeitpunkt noch für die SMAB tätig war, im Zeitpunkt der Beschwerdeerhebung offenbar aber nicht mehr, lassen sich keine Indizien gegen die Zuverlässigkeit des Gutachtens ableiten. Auch die von Dr. E.___ in Vertretung von Prof. D.___ vorgenommene Unterzeichnung des Hauptgutachtens stellt keinen Mangel dar, zumal Dr. E.___ auf der ersten Seite des Gutachtens als medizinische Verantwortliche aufgeführt wurde und somit zweifellos über die entsprechende Kompetenz zur Unterzeichnung verfügte. 2.3    Im Weiteren macht die Beschwerdeführerin gegen das SMAB-Gutachten geltend, dass es nicht nachvollziehbar sei, weshalb sich das Hauptgutachten auf das Fachgebiet Psychiatrie abstütze. Sodann könne ein Hauptgutachter nicht bereits 1½ Monate vor der Begutachtung zusätzliche fachärztliche Untersuchungen veranlassen. 2.3.1           Grundsätzlich ist es der Begutachtungsstelle überlassen, über Art und Umfang der aufgrund der konkreten Fragestellung erforderlichen Untersuchungen zu befinden (Urteil des Bundesgerichts [bis 31. Dezember 2006 Eidgenössisches Versicherungsgericht] vom 17. Oktober 2008, 8C_124/2008, E. 6.3.1 mit Hinweisen). Neben der Auswahl der notwendigen Fachgebiete liegt es somit auch im Ermessen der Begutachtungsstelle, darüber zu entscheiden, welches medizinische Fachgebiet sich für die Hauptbegutachtung eignet. Ausserdem besteht für medizinische Gutachter keine allgemeingültige Veranlassung, einer Fachrichtung a priori eine federführende Rolle zuzuerkennen, zumal dies dem Wesen einer polydisziplinären Begutachtung widersprechen würde, welche gerade nicht bezweckt, den Schwerpunkt systematisch auf ein Fachgebiet zu verlegen, sondern das Ziel verfolgt, die Ergebnisse der einzelnen Fachrichtungen in die Form einer (versicherungs)medizinisch-synthetischen Schlussfolgerung zu giessen (Thomas Germann, Die gerichtlichen Vorgaben an polydisziplinäre Gutachten bei Schleudertraumen und äquivalenten Verletzungen, in: SZS 53/2009 S. 367). Gegen die vor der fallführenden Gutachterin veranlassten Teilgutachten ist mithin nichts einzuwenden. Vielmehr wird bei einer polydisziplinären Begutachtung vorausgesetzt, dass sich der psychiatrische Gutachter auf die gewonnen Erkenntnisse der somatischen Abklärungen stützen kann (vgl. Leitlinien der Schweizerischen Gesellschaft für Versicherungs­psychiatrie für die Begutachtung psychischer Störungen, Schweizerische Ärztezeitung, 2004;85: Nr 20, S. 1050). 2.4    Sodann bemängelt die Beschwerdeführerin, dass die psychiatrische Begutachtung höchstens 20 bis 30 Minuten gedauert habe. Auch die übrigen Untersuchungen seien relativ kurz gewesen. 2.4.1           Gemäss Rechtsprechung des Bundesgerichts ist der zu betreibende zeitliche Aufwand für eine psychiatrische Untersuchung von der Fragestellung und der zu beurteilenden Psychopathologie abhängig. So sei eine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Mit Bezug auf ein forensisches Gutachten zur Frage der Zurechnungsfähigkeit in einem Strafprozess hat das Bundesgericht festgehalten, eine sorgfältige Beurteilung könne kaum im Rahmen einer ein- bis zweistündigen Untersuchung eines zuvor unbekannten Menschen gelingen. Diese Einschätzung sei auf den versicherungsmedizinischen Zusammenhang sinngemäss übertragbar. Wichtigste Grundlage gutachterlicher Schlussfolgerungen sei hier – gegebenenfalls neben standardisierten Tests – die klinische Untersuchung mit Anamneseerhebung, Symptomerfassung und Verhaltensbeobachtung. Ein Explorationsgespräch von 20 Minuten reiche offensichtlich nicht aus, wenn diese unerlässlichen Kernkomponenten einer umfassenden psychiatrischen Begutachtung zu erheben seien. Die direkte ärztliche Auseinandersetzung mit dem Exploranden rücke erst dann in den Hintergrund, wenn es im Wesentlichen nur um die Beurteilung eines feststehenden medizinischen Sachverhalts gehe und sich neue Untersuchungen erübrigten; in einem solchen Fall könne auch ein reines Aktengutachten voll beweiswertig sein (Urteil des Bundesgerichts vom 14. November 2007, I 1094/06, E. 3.1.1 mit Hinweisen). 2.4.2           Dem Gutachten sind keine Angaben über die Dauer der psychiatrischen Begutachtung zu entnehmen. Aufgrund der ausführlichen Anamneseerhebung erscheint eine Dauer von lediglich 20 bis 30 Minuten nicht sehr wahrscheinlich. Selbst wenn vorliegend von einer Untersuchungsdauer von lediglich ca. 30 Minuten ausgegangen würde, gilt es zu berücksichtigen, dass der Gutachter im Besitz sämtlicher Vorakten, insbesondere des psychiatrischen Gutachtens von Dr. med. G.___, Fachärztin Psychiatrie und Psychotherapie, vom 16. Juli 2007 (act. G 5.2 Fremdakten), war, und sich somit bereits ein Bild über den Gesundheitszustand der Beschwerdeführerin machen konnte. Aus den Schlussfolgerungen der psychiatrischen Begutachtung – leichte depressive Episode ohne Auswirkung auf die Arbeitsfähigkeit – kann ebenfalls nicht geschlossen werden, dass die Begutachtung einen speziell hohen Zeitaufwand beansprucht hätte. Und schliesslich teilte die Beschwerdeführerin anlässlich der Begutachtung mit, dass sie derzeit nicht mehr psychiatrisch-psychotherapeutisch behandelt werde. Unter diesen Umständen lässt sich eine relativ kurze Dauer der Begutachtung erklären, ohne dass diese deswegen als ungenügend angesehen werden müsste. Die Darlegung der objektiven Befundlage, die ausführliche und umfassende Anamnese sowie der Einbezug der geklagten subjektiven Beschwerden zeugen vielmehr von einer ausreichenden Untersuchung. Auch bezüglich der fachspezifischen Teilgutachten ist aufgrund der erhobenen Befunde von einer genügenden und sorgfältig durchgeführten Untersuchung auszugehen, weshalb das SMAB-Gutachten auch diesbezüglich nicht zu beanstanden ist. 2.5    Letztlich vermögen auch die weiteren Einwände der Beschwerdeführerin an der Beweiskraft des SMAB-Gutachtens nichts zu ändern. Die Schlussfolgerungen der psychiatrischen Begutachtung sind nachvollziehbar begründet und stehen im Einklang mit dem psychiatrischen Gutachten von Dr. G.___ vom 16. Juli 2007, in welchem ausgeführt wurde, dass die depressive Reaktion gut behandelbar sei und davon ausgegangen werden könne, dass bezüglich der psychischen Erkrankung innerhalb von einem halben bis ganzen Jahr die volle Arbeitsfähigkeit wieder gegeben sei. Die von der Beschwerdeführerin in der Beschwerde erwähnten medizinischen Berichte standen dem rheumatologischen Gutachter zur Verfügung, weshalb davon ausgegangen werden kann, dass sie auch in seine Beurteilung miteinbezogen wurden. Sodann ist dem SMAB-Gutachten und den einzelnen Teilgutachten die aktuelle Medikation zu entnehmen, weshalb davon auszugehen ist, dass die Gutachter auch allfällige Auswirkungen der Medikamente auf die Arbeitsfähigkeit berücksichtigt haben. Bei der im Hauptgutachten unter Ziffer 2.1 festgehaltenen Arbeitsfähigkeit aus rheumatologischer Sicht von 64% handelt es sich offensichtlich um einen Schreibfehler, nachdem sowohl im rheumatologischen Teilgutachten vom 19. September 2008 (IV-act. 44/25-30) als auch im Hauptgutachten (IV-act. 44/21-23) jeweils von einer 100%igen Arbeitsfähigkeit mit einer Leistungsminderung von 20% ausgegangen wurde. Angesichts der gesamten medizinischen Aktenlage, insbesondere der beiden polydisziplinären Begutachtungen vom 26. Februar 2007 und 13. November 2008, erscheint dagegen die von Dr. med. F.___, Facharzt Innere Medizin, im Arztbericht vom 27. Mai 2008 (IV-act. 31/1-4) attestierte 100%ige Arbeitsunfähigkeit nicht nachvollziehbar. Zudem wurde die Einschätzung der Arbeitsunfähigkeit von Dr. F.___ nicht näher begründet, sondern er führte lediglich aus, dass in einer adaptierten Tätigkeit keine Arbeitsfähigkeit bestehe. 2.6    Insgesamt sind keine Indizien auszumachen, welche gegen die Zuverlässigkeit des SMAB-Gutachtens sprechen würden. Es beruht auf eigenständigen interdisziplinären Abklärungen und erscheint für die streitigen Belange umfassend. Die Vorakten und die geklagten Beschwerden der Beschwerdeführerin wurden hinreichend berücksichtigt und in die Beurteilung mit einbezogen. Das Gutachten leuchtet in der Darlegung der medizinischen Zusammenhänge und in der Beurteilung der medizinischen Situation ein. Vor diesem Hintergrund vermögen die darin enthaltenen Schlussfolgerungen, insbesondere die 100%ige Arbeitsfähigkeit mit einer Leistungseinbusse von 20% in der bisherigen und in einer angepassten Tätigkeit, zu überzeugen. 2.7    Dem Eventualantrag der Beschwerdeführerin, es sei eine umfassende polydis­ziplinäre Begutachtung anzuordnen, ist nicht stattzugeben. Das SMAB-Gutachten ergibt ein vollständiges Bild des Gesundheitszustands der Beschwerdeführerin und vermittelt genügend Klarheit über den rechtserheblichen Sachverhalt. Von weiteren medizinischen Abklärungen sind keine neuen Erkenntnisse zu erwarten, weshalb darauf zu verzichten ist (antizipierte Beweiswürdigung; vgl. BGE 122 V 157 E. 1d). 2.8    Nachdem die Beschwerdegegnerin in der angefochtenen Verfügung noch von einer 80%igen Arbeitsfähigkeit ausgegangen war, vertritt sie im Beschwerdeverfahren die Ansicht, dass in einer adaptierten Tätigkeit eine volle Arbeitsfähigkeit bestehe. Wie die nachfolgenden Erwägungen zeigen, besteht aber selbst bei einer verbleibenden Arbeitsfähigkeit von 80% kein Rentenanspruch, weshalb auf die Ausführungen der Beschwerdegegnerin im Beschwerdeverfahren nicht näher eingegangen werden muss.</w:t>
      </w:r>
    </w:p>
    <w:p>
      <w:r>
        <w:rPr>
          <w:b/>
        </w:rPr>
        <w:t>E. 3</w:t>
      </w:r>
    </w:p>
    <w:p>
      <w:r>
        <w:t>3.1    Ausgehend von einer Restarbeitsfähigkeit in einer adaptierten Tätigkeit von 80% (100%ige Arbeitsfähigkeit mit einer Leistungsminderung von 20%) gilt es die erwerblichen Auswirkungen der Leistungsbeeinträchtigung zu prüfen. 3.2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Für das Valideneinkommen ist demnach auf das von der Beschwerdeführerin im Jahr 2005 zuletzt erzielte Einkommen als Mitarbeiterin im Detailhandel abzustellen. Dabei erzielte sie – aufgerechnet auf ein 100% Pensum – ein Einkommen von Fr. 35'325.-- (Fr. 28'260.-- bei 80%; vgl. IV-act. 7 und 16/4). Der von der Beschwerdeführerin erzielte Lohn liegt somit deutlich unter dem Durchschnittslohn für eine Hilfstätigkeit gemäss LSE. Für das Jahr 2005 betrug dieser Fr. 49'070.-- (LSE 2004 Tabelle TA1, Anforderungsniveau 4, Fr. 4'019.-- unter Berücksichtigung einer Nominallohnentwicklung für das Jahr 2005 von 1.1%). Da keine Anhaltspunkte dafür bestehen, dass die Beschwerdeführerin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3.4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Leidensabzuges nicht nochmals berücksichtigt werden dürfen (BGE 134 V 328 E. 5.2). 3.5    Unter Berücksichtigung sämtlicher Umstände erscheint insbesondere aufgrund der Tatsache, dass die Beschwerdeführerin selbst in leichten Tätigkeiten noch gewissen Einschränkungen unterliegt, ein Abzug von höchstens 10% angemessen. Bei Vornahme eines 10%igen Leidensabzugs resultiert ein nicht rentenbegründender Invaliditätsgrad von 28% (100% - [80% x 0.9]). Die Verneinung eines Rentenanspruchs durch die Beschwerdegegnerin ist daher im Ergebnis nicht zu beanstanden.</w:t>
      </w:r>
    </w:p>
    <w:p>
      <w:r>
        <w:rPr>
          <w:b/>
        </w:rPr>
        <w:t>E. 4</w:t>
      </w:r>
    </w:p>
    <w:p>
      <w:r>
        <w:t>4.1    Im Sinn der vorstehenden Erwägungen ist die Beschwerde unter Bestätigung der angefochtenen Verfügung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